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1841" w14:textId="5A387875" w:rsidR="00505958" w:rsidRDefault="000E5500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</w:pPr>
      <w:r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>Service Civique</w:t>
      </w:r>
      <w:r w:rsidR="00505958" w:rsidRPr="00505958"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>–</w:t>
      </w:r>
      <w:r w:rsidR="00505958" w:rsidRPr="00505958"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 xml:space="preserve">participation au </w:t>
      </w:r>
      <w:r w:rsidR="00505958" w:rsidRPr="00505958"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>projet Études &amp;</w:t>
      </w:r>
      <w:r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 xml:space="preserve"> </w:t>
      </w:r>
      <w:r w:rsidR="00505958" w:rsidRPr="00505958"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  <w:t>Outils</w:t>
      </w:r>
    </w:p>
    <w:p w14:paraId="23C6A409" w14:textId="77777777" w:rsidR="00B77A0E" w:rsidRPr="00505958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62"/>
          <w:szCs w:val="62"/>
          <w:lang w:val="fr-FR"/>
        </w:rPr>
      </w:pPr>
    </w:p>
    <w:p w14:paraId="39A22DBC" w14:textId="77777777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505958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Présentation de la structure</w:t>
      </w:r>
    </w:p>
    <w:p w14:paraId="64F1DDA1" w14:textId="77777777" w:rsidR="005C0E10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L'Institut de la Transition Foncière est une association loi 1901 regroupant les acteurs engagés pour la protection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des sols : collectivités, associations, entreprises, établissements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 recherche, opérateurs publics.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Nous voulons replacer la préservation des sols vivants au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centre des politiques publiques et des activités des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entreprises, tant dans les milieux liés à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l’aménagement et à la construction que dans la société civile.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</w:p>
    <w:p w14:paraId="2D0C58A6" w14:textId="77777777" w:rsidR="005C0E10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Nous développons une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recherche appliquée via la Chaire Transition foncière, une action de plaidoyer, ainsi que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outils connectés directement aux pratiques opérationnelles, afin de structurer des standards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et de critères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reconnus et appropriables pour assurer le passage à l’échelle de la sobriété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foncière.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</w:p>
    <w:p w14:paraId="7E2A9261" w14:textId="2DD059A8" w:rsid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Nous apportons à nos membres expertise, information et prospective, sur l'ensemble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des enjeux et chantiers de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gestion durable des sols : fonctions écologiques, restauration des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sols, recyclage urbain, gouvernance foncière...</w:t>
      </w:r>
    </w:p>
    <w:p w14:paraId="582EF1B2" w14:textId="77777777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1D771764" w14:textId="7CC91C55" w:rsidR="00B77A0E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505958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Contexte d</w:t>
      </w:r>
      <w:r w:rsidR="00B77A0E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e la mission</w:t>
      </w:r>
    </w:p>
    <w:p w14:paraId="34E988AB" w14:textId="77777777" w:rsidR="005C0E10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Les sols sont notre patrimoine commun et un puissant atout pour lutter contre le changement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climatique et ses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impacts, protéger la biodiversité, garantir la souveraineté alimentaire et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permettre une gestion quantitative et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qualitative de l’eau. Pourtant, de nombreuses menaces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pèsent sur les sols, notamment du fait de l’aménagement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du territoire encore très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consommateur d’espaces naturels, agricoles et forestiers. Les pratiques de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l’aménagement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ont du mal à évoluer, faute d’outils techniques, de connaissances et de modèle économique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viable.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</w:p>
    <w:p w14:paraId="16BDDBE4" w14:textId="77777777" w:rsidR="005C0E10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L’Institut de la Transition foncière a dès lors développé, au sein de son pôle “Outils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et études”, une méthode de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recherche-action pour </w:t>
      </w:r>
      <w:proofErr w:type="spell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co-construire</w:t>
      </w:r>
      <w:proofErr w:type="spell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les outils opérationnels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manquants aux professionnels engagés dans la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protection des sols ou dont l’activité a un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impact sur la consommation des sols.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</w:p>
    <w:p w14:paraId="5F0BEA61" w14:textId="77777777" w:rsidR="005C0E10" w:rsidRDefault="005C0E10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28B0F5FA" w14:textId="672B7C01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Ainsi, le pôle “Outils et études” :</w:t>
      </w:r>
    </w:p>
    <w:p w14:paraId="6CA18C79" w14:textId="77777777" w:rsidR="00505958" w:rsidRDefault="00505958" w:rsidP="00505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assure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le cadrage des outils et étude, grâce à des entretiens et de la recherche bibliographique</w:t>
      </w:r>
    </w:p>
    <w:p w14:paraId="107C9D95" w14:textId="77777777" w:rsidR="00505958" w:rsidRDefault="00505958" w:rsidP="00505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rassemble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des experts scientifiques et opérationnels au sein de groupes de travail</w:t>
      </w:r>
    </w:p>
    <w:p w14:paraId="4DDDE2F1" w14:textId="77777777" w:rsidR="00505958" w:rsidRDefault="00505958" w:rsidP="00505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assure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le développement des outils et la rédaction des livrables</w:t>
      </w:r>
    </w:p>
    <w:p w14:paraId="580985D5" w14:textId="77777777" w:rsidR="00505958" w:rsidRDefault="00505958" w:rsidP="005059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coordonne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les phases d’expérimentation sur le terrain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. </w:t>
      </w:r>
    </w:p>
    <w:p w14:paraId="2A18AE36" w14:textId="77777777" w:rsid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4FF1A63B" w14:textId="77777777" w:rsid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Actuellement, plusieurs outils et études sont en phase de lancement :</w:t>
      </w:r>
    </w:p>
    <w:p w14:paraId="0B8058A9" w14:textId="77777777" w:rsidR="00505958" w:rsidRDefault="00505958" w:rsidP="005059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une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étude sur les modalités de portage foncier et de préservation d’espaces naturels non bâtis,</w:t>
      </w:r>
    </w:p>
    <w:p w14:paraId="326767AF" w14:textId="77777777" w:rsidR="00505958" w:rsidRDefault="00505958" w:rsidP="005059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un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indicateur des m2 d’artificialisation évités à l’échelle du projet ou du bâtiment,</w:t>
      </w:r>
    </w:p>
    <w:p w14:paraId="109DFDCF" w14:textId="77777777" w:rsidR="00505958" w:rsidRDefault="00505958" w:rsidP="005059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une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cartographie des bonnes pratiques en sobriété foncière</w:t>
      </w:r>
    </w:p>
    <w:p w14:paraId="68670FF3" w14:textId="77777777" w:rsidR="00505958" w:rsidRDefault="00505958" w:rsidP="005059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proofErr w:type="gramStart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et</w:t>
      </w:r>
      <w:proofErr w:type="gramEnd"/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une étude sur les circuits courts des sols pour optimiser la gestion des terres excavées. </w:t>
      </w:r>
    </w:p>
    <w:p w14:paraId="380791BD" w14:textId="3D5937A5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lastRenderedPageBreak/>
        <w:t>Cette étude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s’intéressera particulièrement à la question de la gouvernance urbaine de la ressource, afin de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renforcer les circuits existants et de les généraliser.</w:t>
      </w:r>
    </w:p>
    <w:p w14:paraId="5578D941" w14:textId="19E36784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Deux outils sont dans une phase de test : un </w:t>
      </w:r>
      <w:r w:rsidRPr="00505958">
        <w:rPr>
          <w:rFonts w:ascii="Times New Roman" w:hAnsi="Times New Roman" w:cs="Times New Roman"/>
          <w:i/>
          <w:iCs/>
          <w:color w:val="1155CD"/>
          <w:kern w:val="0"/>
          <w:lang w:val="fr-FR"/>
        </w:rPr>
        <w:t>Référentiel des techniques de renaturation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14"/>
          <w:szCs w:val="14"/>
          <w:lang w:val="fr-FR"/>
        </w:rPr>
        <w:t xml:space="preserve">1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des sols et un modèle</w:t>
      </w:r>
      <w:r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de </w:t>
      </w:r>
      <w:r w:rsidRPr="00505958">
        <w:rPr>
          <w:rFonts w:ascii="Times New Roman" w:hAnsi="Times New Roman" w:cs="Times New Roman"/>
          <w:i/>
          <w:iCs/>
          <w:color w:val="1155CD"/>
          <w:kern w:val="0"/>
          <w:lang w:val="fr-FR"/>
        </w:rPr>
        <w:t>Bilan d’opération de transition foncière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14"/>
          <w:szCs w:val="14"/>
          <w:lang w:val="fr-FR"/>
        </w:rPr>
        <w:t>2</w:t>
      </w:r>
    </w:p>
    <w:p w14:paraId="5AD95811" w14:textId="77777777" w:rsid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2DF9D383" w14:textId="77777777" w:rsid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07646148" w14:textId="38CC7CED" w:rsidR="00505958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  <w:r>
        <w:rPr>
          <w:rFonts w:ascii="Times New Roman" w:hAnsi="Times New Roman" w:cs="Times New Roman"/>
          <w:i/>
          <w:iCs/>
          <w:noProof/>
          <w:color w:val="000000"/>
          <w:kern w:val="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1C93E" wp14:editId="42B42B78">
                <wp:simplePos x="0" y="0"/>
                <wp:positionH relativeFrom="column">
                  <wp:posOffset>-19050</wp:posOffset>
                </wp:positionH>
                <wp:positionV relativeFrom="paragraph">
                  <wp:posOffset>77618</wp:posOffset>
                </wp:positionV>
                <wp:extent cx="5885234" cy="1692612"/>
                <wp:effectExtent l="0" t="0" r="7620" b="9525"/>
                <wp:wrapNone/>
                <wp:docPr id="1845686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34" cy="169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A86D2" w14:textId="77777777" w:rsidR="00B77A0E" w:rsidRPr="00505958" w:rsidRDefault="00B77A0E" w:rsidP="00B77A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Zoom sur un outil en phase test : le bilan d’opération de transition foncière (BOTF).</w:t>
                            </w:r>
                          </w:p>
                          <w:p w14:paraId="3E82E60E" w14:textId="77777777" w:rsidR="00B77A0E" w:rsidRDefault="00B77A0E" w:rsidP="00B77A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Cet outil opérationnel vise à valoriser les pratiques vertueuses de sobriété foncière dans l’économie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de l’aménagement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urbain. Actuellement, la rentabilité des projets repose sur la cession des droits 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construire, et donc sur la dégradation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des sols. Le BOTF propose une nouvelle comptabilité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écologique qui valorise la préservation et la renaturation des sols,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en intégrant les coûts et </w:t>
                            </w:r>
                            <w:proofErr w:type="gramStart"/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recettes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liés</w:t>
                            </w:r>
                            <w:proofErr w:type="gramEnd"/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à ces actions. Conçu pour les collectivités, aménageurs et promoteurs, il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ambitionne d’être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reconnu par les autorités publiques pour faciliter l’accès aux financements dédiés. Après une phase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d’ateliers en 2024 et un premier livrable, la phase d’expérimentation sur 4 opérations se déroule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entre janvier et juin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2025. Le livrable final incluant le résultat des expérimentations est attendu pour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059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kern w:val="0"/>
                                <w:sz w:val="22"/>
                                <w:szCs w:val="22"/>
                                <w:lang w:val="fr-FR"/>
                              </w:rPr>
                              <w:t>l’automne 2025.</w:t>
                            </w:r>
                          </w:p>
                          <w:p w14:paraId="2FA6B1E7" w14:textId="77777777" w:rsidR="00B77A0E" w:rsidRPr="00B77A0E" w:rsidRDefault="00B77A0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1C9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6.1pt;width:463.4pt;height:1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" fillcolor="white [3201]" strokeweight=".5pt">
                <v:textbox>
                  <w:txbxContent>
                    <w:p w14:paraId="142A86D2" w14:textId="77777777" w:rsidR="00B77A0E" w:rsidRPr="00505958" w:rsidRDefault="00B77A0E" w:rsidP="00B77A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</w:pP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Zoom sur un outil en phase test : le bilan d’opération de transition foncière (BOTF).</w:t>
                      </w:r>
                    </w:p>
                    <w:p w14:paraId="3E82E60E" w14:textId="77777777" w:rsidR="00B77A0E" w:rsidRDefault="00B77A0E" w:rsidP="00B77A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</w:pP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Cet outil opérationnel vise à valoriser les pratiques vertueuses de sobriété foncière dans l’économie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de l’aménagement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urbain. Actuellement, la rentabilité des projets repose sur la cession des droits 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construire, et donc sur la dégradation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des sols. Le BOTF propose une nouvelle comptabilité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écologique qui valorise la préservation et la renaturation des sols,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en intégrant les coûts et </w:t>
                      </w:r>
                      <w:proofErr w:type="gramStart"/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recettes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liés</w:t>
                      </w:r>
                      <w:proofErr w:type="gramEnd"/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à ces actions. Conçu pour les collectivités, aménageurs et promoteurs, il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ambitionne d’être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reconnu par les autorités publiques pour faciliter l’accès aux financements dédiés. Après une phase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d’ateliers en 2024 et un premier livrable, la phase d’expérimentation sur 4 opérations se déroule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entre janvier et juin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2025. Le livrable final incluant le résultat des expérimentations est attendu pour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505958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kern w:val="0"/>
                          <w:sz w:val="22"/>
                          <w:szCs w:val="22"/>
                          <w:lang w:val="fr-FR"/>
                        </w:rPr>
                        <w:t>l’automne 2025.</w:t>
                      </w:r>
                    </w:p>
                    <w:p w14:paraId="2FA6B1E7" w14:textId="77777777" w:rsidR="00B77A0E" w:rsidRPr="00B77A0E" w:rsidRDefault="00B77A0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08FD5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75EAF81E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1D371083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4ACDDF75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13248510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6A3ADB9B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18C4B886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4B22E2C1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08CB3179" w14:textId="77777777" w:rsidR="00B77A0E" w:rsidRPr="00505958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fr-FR"/>
        </w:rPr>
      </w:pPr>
    </w:p>
    <w:p w14:paraId="711CBC80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</w:p>
    <w:p w14:paraId="0502B46C" w14:textId="77777777" w:rsidR="00B77A0E" w:rsidRDefault="00B77A0E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</w:p>
    <w:p w14:paraId="5139D6FE" w14:textId="4CD228C1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505958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 xml:space="preserve">Objectifs </w:t>
      </w:r>
      <w:r w:rsidR="00B77A0E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de la mi</w:t>
      </w:r>
      <w:r w:rsidR="005C0E10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ssion</w:t>
      </w:r>
    </w:p>
    <w:p w14:paraId="40FA5F57" w14:textId="77777777" w:rsidR="00B77A0E" w:rsidRDefault="00505958" w:rsidP="005059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Accompagner l’équipe de l’Institut à chaque étape de la production des outils et études</w:t>
      </w:r>
    </w:p>
    <w:p w14:paraId="68609F8B" w14:textId="77777777" w:rsidR="00B77A0E" w:rsidRDefault="00505958" w:rsidP="005059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Participer à finalisation et la valorisation de l’expérimentation du Bilan d’opération de transition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foncière (action collective de l’Université de la Ville de Demain)</w:t>
      </w:r>
    </w:p>
    <w:p w14:paraId="55353126" w14:textId="5109F921" w:rsidR="00505958" w:rsidRDefault="00505958" w:rsidP="005059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Contribuer à identifier les blocages techniques, économiques et réglementaires pour la mise en 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œuvre 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de la sobriété foncière, identifier les freins et leviers, conceptualiser des solutions</w:t>
      </w:r>
    </w:p>
    <w:p w14:paraId="5B5D4071" w14:textId="77777777" w:rsidR="00B77A0E" w:rsidRPr="00B77A0E" w:rsidRDefault="00B77A0E" w:rsidP="00B77A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74AB5B30" w14:textId="715C8215" w:rsidR="00505958" w:rsidRPr="00505958" w:rsidRDefault="005C0E10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La mission</w:t>
      </w:r>
    </w:p>
    <w:p w14:paraId="724407B4" w14:textId="4C442743" w:rsidR="00505958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Sous la responsabilité de la Déléguée générale et du Président et en lien étroit avec le chargé d’étude et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l’ingénieure de recherche, le ou</w:t>
      </w:r>
      <w:r w:rsidR="000E550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la volontaire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aura pour mission de :</w:t>
      </w:r>
    </w:p>
    <w:p w14:paraId="4661214E" w14:textId="3664F0F1" w:rsidR="00B77A0E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Appuyer la mise en 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œuvre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et la conduite des phases d’enquête : revue de littérature, entretiens,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organisation des groupes de travail</w:t>
      </w:r>
    </w:p>
    <w:p w14:paraId="39795FFF" w14:textId="4CA0A675" w:rsidR="00B77A0E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Rédiger, en collaboration avec la chargée d’études, les différents livrables des outils et études en </w:t>
      </w:r>
      <w:r w:rsidR="005C0E1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cours :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cadrage, rapport intermédiaire, retour d’expérience des tests</w:t>
      </w:r>
    </w:p>
    <w:p w14:paraId="07599AD0" w14:textId="77777777" w:rsidR="00B77A0E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Outiller ces différentes phases de production avec des graphiques et cartographies</w:t>
      </w:r>
    </w:p>
    <w:p w14:paraId="76B8B042" w14:textId="77777777" w:rsidR="00B77A0E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Participer à la coordination des phases d’expérimentation, en lien avec les acteurs opérationnels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réalisant les tests (collectivités, entreprises) et assurer la capitalisation de ces retours d’expérience</w:t>
      </w:r>
    </w:p>
    <w:p w14:paraId="747A76AE" w14:textId="242E4EFC" w:rsidR="00B77A0E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Participer </w:t>
      </w:r>
      <w:r w:rsidR="00B77A0E"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à la conception formelle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des différents outils</w:t>
      </w:r>
    </w:p>
    <w:p w14:paraId="5F05E03E" w14:textId="6C9B7862" w:rsidR="00505958" w:rsidRDefault="00505958" w:rsidP="005059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Participer à la valorisation des outils et des livrables intermédiaires et finaux (publications,</w:t>
      </w:r>
      <w:r w:rsid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événements, webinaire…)</w:t>
      </w:r>
    </w:p>
    <w:p w14:paraId="68694299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04D55FCC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2BE34405" w14:textId="77777777" w:rsidR="00B77A0E" w:rsidRPr="00505958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sz w:val="14"/>
          <w:szCs w:val="14"/>
          <w:lang w:val="fr-FR"/>
        </w:rPr>
        <w:t xml:space="preserve">1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La renaturation est le fait de restaurer le « bon » état écologique et paysager de sites que l'on estime dégradés par les activités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humaines ou les événements naturels, pour les sols il s’agit d’assurer la restauration des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fonctions écologiques par rapport à leur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potentiel local.</w:t>
      </w:r>
    </w:p>
    <w:p w14:paraId="48B53CF2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sz w:val="14"/>
          <w:szCs w:val="14"/>
          <w:lang w:val="fr-FR"/>
        </w:rPr>
        <w:t xml:space="preserve">2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Un bilan d’opérations est un outil comptable utilisé par les aménageurs et les promoteurs immobiliers. Pour le promoteur, le bilan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permet une estimation des coûts et des gains prévisionnels d’une opération immobilière.</w:t>
      </w:r>
    </w:p>
    <w:p w14:paraId="0C410486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70FEA16E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278D825B" w14:textId="77777777" w:rsid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0C8E139D" w14:textId="27BF0A91" w:rsidR="00B77A0E" w:rsidRDefault="00BC0426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Savoir-faire apprécié</w:t>
      </w:r>
    </w:p>
    <w:p w14:paraId="4EBB71D0" w14:textId="77777777" w:rsidR="00B77A0E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Études en urbanisme, géographie, droit public, architecture, ingénierie urbaine ou agronomie (M2)</w:t>
      </w:r>
    </w:p>
    <w:p w14:paraId="3F8BB441" w14:textId="77777777" w:rsidR="00B77A0E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Compétence en analyse de données et/ou SIG valorisée</w:t>
      </w:r>
    </w:p>
    <w:p w14:paraId="71DEDB8C" w14:textId="77777777" w:rsidR="00B77A0E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Bonne capacité d’analyse, de synthèse et de rédaction</w:t>
      </w:r>
    </w:p>
    <w:p w14:paraId="7CB20043" w14:textId="77777777" w:rsidR="00B77A0E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Expérience en stage ou bénévolat en lien avec l’aménagement ou la conception d’outils</w:t>
      </w:r>
    </w:p>
    <w:p w14:paraId="4C295430" w14:textId="77777777" w:rsidR="00B77A0E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Fort intérêt pour les enjeux environnementaux</w:t>
      </w:r>
    </w:p>
    <w:p w14:paraId="731E2BFA" w14:textId="10F618FD" w:rsidR="00505958" w:rsidRPr="00B77A0E" w:rsidRDefault="00505958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Capacité d’autonomie et d’initiative</w:t>
      </w:r>
    </w:p>
    <w:p w14:paraId="2B40639F" w14:textId="77777777" w:rsidR="00B77A0E" w:rsidRPr="00B77A0E" w:rsidRDefault="00B77A0E" w:rsidP="00505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</w:p>
    <w:p w14:paraId="65C9105A" w14:textId="7E46F2E3" w:rsidR="00B77A0E" w:rsidRPr="00505958" w:rsidRDefault="00505958" w:rsidP="0050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</w:pPr>
      <w:r w:rsidRPr="00505958">
        <w:rPr>
          <w:rFonts w:ascii="Times New Roman" w:hAnsi="Times New Roman" w:cs="Times New Roman"/>
          <w:i/>
          <w:iCs/>
          <w:color w:val="1F8479"/>
          <w:kern w:val="0"/>
          <w:sz w:val="36"/>
          <w:szCs w:val="36"/>
          <w:lang w:val="fr-FR"/>
        </w:rPr>
        <w:t>Conditions</w:t>
      </w:r>
    </w:p>
    <w:p w14:paraId="1998A983" w14:textId="4C45ADFB" w:rsidR="00B77A0E" w:rsidRDefault="00505958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● </w:t>
      </w:r>
      <w:r w:rsidR="005C0E1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6 à 8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 mois, dès que </w:t>
      </w:r>
      <w:r w:rsidR="005C0E1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possible, à raison de 28h par semaine.</w:t>
      </w:r>
    </w:p>
    <w:p w14:paraId="65C32C2E" w14:textId="2D5D5462" w:rsidR="00505958" w:rsidRPr="00B77A0E" w:rsidRDefault="00505958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● Tickets-restaurants (</w:t>
      </w:r>
      <w:r w:rsidR="005C0E1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6</w:t>
      </w: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e </w:t>
      </w:r>
      <w:r w:rsidR="005C0E10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par jour de présence)</w:t>
      </w:r>
    </w:p>
    <w:p w14:paraId="0B82DDEB" w14:textId="77777777" w:rsidR="00505958" w:rsidRDefault="00505958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  <w:r w:rsidRPr="00B77A0E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● Adresse : 182 bd de la Villette, 75019</w:t>
      </w:r>
    </w:p>
    <w:p w14:paraId="0E530928" w14:textId="77777777" w:rsidR="00B77A0E" w:rsidRPr="00B77A0E" w:rsidRDefault="00B77A0E" w:rsidP="00B77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fr-FR"/>
        </w:rPr>
      </w:pPr>
    </w:p>
    <w:p w14:paraId="3EFD6118" w14:textId="368847DB" w:rsidR="00365EC5" w:rsidRPr="00505958" w:rsidRDefault="00505958" w:rsidP="00505958">
      <w:pPr>
        <w:rPr>
          <w:lang w:val="fr-FR"/>
        </w:rPr>
      </w:pP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Envoyer CV et LM à </w:t>
      </w:r>
      <w:r w:rsidRPr="00505958">
        <w:rPr>
          <w:rFonts w:ascii="Times New Roman" w:hAnsi="Times New Roman" w:cs="Times New Roman"/>
          <w:i/>
          <w:iCs/>
          <w:color w:val="1155CD"/>
          <w:kern w:val="0"/>
          <w:lang w:val="fr-FR"/>
        </w:rPr>
        <w:t xml:space="preserve">holvoet@transitionfonciere.fr </w:t>
      </w:r>
      <w:r w:rsidRPr="00505958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 xml:space="preserve">et </w:t>
      </w:r>
      <w:r w:rsidRPr="00505958">
        <w:rPr>
          <w:rFonts w:ascii="Times New Roman" w:hAnsi="Times New Roman" w:cs="Times New Roman"/>
          <w:i/>
          <w:iCs/>
          <w:color w:val="1155CD"/>
          <w:kern w:val="0"/>
          <w:lang w:val="fr-FR"/>
        </w:rPr>
        <w:t>guiony@transitionfonciere.fr</w:t>
      </w:r>
    </w:p>
    <w:sectPr w:rsidR="00365EC5" w:rsidRPr="0050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DC6"/>
    <w:multiLevelType w:val="hybridMultilevel"/>
    <w:tmpl w:val="ECD2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0B76"/>
    <w:multiLevelType w:val="hybridMultilevel"/>
    <w:tmpl w:val="A6D0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6843"/>
    <w:multiLevelType w:val="hybridMultilevel"/>
    <w:tmpl w:val="2666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198"/>
    <w:multiLevelType w:val="hybridMultilevel"/>
    <w:tmpl w:val="BAD6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C0D74"/>
    <w:multiLevelType w:val="hybridMultilevel"/>
    <w:tmpl w:val="9AE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4613F"/>
    <w:multiLevelType w:val="hybridMultilevel"/>
    <w:tmpl w:val="04BAB8E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69949028">
    <w:abstractNumId w:val="2"/>
  </w:num>
  <w:num w:numId="2" w16cid:durableId="98112632">
    <w:abstractNumId w:val="5"/>
  </w:num>
  <w:num w:numId="3" w16cid:durableId="571933216">
    <w:abstractNumId w:val="3"/>
  </w:num>
  <w:num w:numId="4" w16cid:durableId="1874074205">
    <w:abstractNumId w:val="1"/>
  </w:num>
  <w:num w:numId="5" w16cid:durableId="75441004">
    <w:abstractNumId w:val="0"/>
  </w:num>
  <w:num w:numId="6" w16cid:durableId="35169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58"/>
    <w:rsid w:val="000E5500"/>
    <w:rsid w:val="001F10A5"/>
    <w:rsid w:val="00365EC5"/>
    <w:rsid w:val="00505958"/>
    <w:rsid w:val="00583C69"/>
    <w:rsid w:val="00592BA3"/>
    <w:rsid w:val="005C0E10"/>
    <w:rsid w:val="006B10F6"/>
    <w:rsid w:val="00B77A0E"/>
    <w:rsid w:val="00BC0426"/>
    <w:rsid w:val="00C75022"/>
    <w:rsid w:val="00CD5056"/>
    <w:rsid w:val="00E0495A"/>
    <w:rsid w:val="00E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F0037"/>
  <w15:chartTrackingRefBased/>
  <w15:docId w15:val="{39C6303B-6C49-A54B-BDED-DFD1FA7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5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5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5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5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5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5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5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05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5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5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0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5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05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5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05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Rumpler</dc:creator>
  <cp:keywords/>
  <dc:description/>
  <cp:lastModifiedBy>Marion Rumpler</cp:lastModifiedBy>
  <cp:revision>5</cp:revision>
  <dcterms:created xsi:type="dcterms:W3CDTF">2025-03-03T15:45:00Z</dcterms:created>
  <dcterms:modified xsi:type="dcterms:W3CDTF">2025-03-04T16:21:00Z</dcterms:modified>
</cp:coreProperties>
</file>